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Procurement-specific Service Levels should be incorporated]</w:t>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tblGridChange w:id="0">
          <w:tblGrid>
            <w:gridCol w:w="1713"/>
            <w:gridCol w:w="1571"/>
            <w:gridCol w:w="1701"/>
            <w:gridCol w:w="1418"/>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1">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47">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9">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B">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r>
        <w:trPr>
          <w:cantSplit w:val="0"/>
          <w:trHeight w:val="1474" w:hRule="atLeast"/>
          <w:tblHeader w:val="0"/>
        </w:trPr>
        <w:tc>
          <w:tcPr/>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4F">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bl>
    <w:p w:rsidR="00000000" w:rsidDel="00000000" w:rsidP="00000000" w:rsidRDefault="00000000" w:rsidRPr="00000000" w14:paraId="00000057">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8">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59">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5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5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5D">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5E">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F">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0">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61">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6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6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6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6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6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6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6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nqTBpMqp7GIxLkxAWcwMte4S2g==">AMUW2mX8h1HcbI6rztaZA9nrOvllQUabOLfgVOjHJQsdFpk6UthZiKtcezGKBv7kCrRz4g2rjOyMxAYhyieXRaVPzB0nFLIKFBSgMPrMfP+GlvUe4rmnvOMLJztwppfUvjx9S8UdK2BP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